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2E2" w:rsidRPr="005F42E2" w:rsidRDefault="005F42E2" w:rsidP="00906F61">
      <w:pPr>
        <w:numPr>
          <w:ilvl w:val="0"/>
          <w:numId w:val="6"/>
        </w:numPr>
        <w:tabs>
          <w:tab w:val="clear" w:pos="360"/>
          <w:tab w:val="num" w:pos="564"/>
        </w:tabs>
        <w:spacing w:before="240"/>
        <w:ind w:left="567" w:hanging="567"/>
        <w:jc w:val="both"/>
        <w:rPr>
          <w:rFonts w:ascii="Arial" w:hAnsi="Arial" w:cs="Arial"/>
          <w:b/>
          <w:sz w:val="22"/>
          <w:szCs w:val="22"/>
        </w:rPr>
      </w:pPr>
      <w:bookmarkStart w:id="0" w:name="_GoBack"/>
      <w:bookmarkEnd w:id="0"/>
      <w:r w:rsidRPr="005F42E2">
        <w:rPr>
          <w:rFonts w:ascii="Arial" w:hAnsi="Arial" w:cs="Arial"/>
          <w:sz w:val="22"/>
          <w:szCs w:val="22"/>
        </w:rPr>
        <w:t xml:space="preserve">Section 234 of the </w:t>
      </w:r>
      <w:r w:rsidRPr="005F42E2">
        <w:rPr>
          <w:rFonts w:ascii="Arial" w:hAnsi="Arial" w:cs="Arial"/>
          <w:i/>
          <w:sz w:val="22"/>
          <w:szCs w:val="22"/>
        </w:rPr>
        <w:t>Anti-Discrimination Act 1991</w:t>
      </w:r>
      <w:r w:rsidRPr="005F42E2">
        <w:rPr>
          <w:rFonts w:ascii="Arial" w:hAnsi="Arial" w:cs="Arial"/>
          <w:sz w:val="22"/>
          <w:szCs w:val="22"/>
        </w:rPr>
        <w:t xml:space="preserve"> (the Act) establishes the Anti-Discrimination Commission (the Commission) and provides that there is to be a Commissioner. </w:t>
      </w:r>
    </w:p>
    <w:p w:rsidR="005F42E2" w:rsidRPr="005F42E2" w:rsidRDefault="005F42E2" w:rsidP="00906F61">
      <w:pPr>
        <w:numPr>
          <w:ilvl w:val="0"/>
          <w:numId w:val="6"/>
        </w:numPr>
        <w:tabs>
          <w:tab w:val="clear" w:pos="360"/>
          <w:tab w:val="num" w:pos="564"/>
        </w:tabs>
        <w:spacing w:before="240"/>
        <w:ind w:left="567" w:hanging="567"/>
        <w:jc w:val="both"/>
        <w:rPr>
          <w:rFonts w:ascii="Arial" w:hAnsi="Arial" w:cs="Arial"/>
          <w:sz w:val="22"/>
          <w:szCs w:val="22"/>
        </w:rPr>
      </w:pPr>
      <w:r w:rsidRPr="005F42E2">
        <w:rPr>
          <w:rFonts w:ascii="Arial" w:hAnsi="Arial" w:cs="Arial"/>
          <w:sz w:val="22"/>
          <w:szCs w:val="22"/>
        </w:rPr>
        <w:t>Apart from specific powers given by the Act, the Commissioner has power to do all things necessary or convenient to be done in connection with the performance of the Commission’s functions, namely:</w:t>
      </w:r>
    </w:p>
    <w:p w:rsidR="005F42E2" w:rsidRPr="005F42E2" w:rsidRDefault="005F42E2" w:rsidP="00906F61">
      <w:pPr>
        <w:numPr>
          <w:ilvl w:val="0"/>
          <w:numId w:val="7"/>
        </w:numPr>
        <w:tabs>
          <w:tab w:val="num" w:pos="924"/>
        </w:tabs>
        <w:spacing w:before="120"/>
        <w:ind w:left="927"/>
        <w:jc w:val="both"/>
        <w:rPr>
          <w:rFonts w:ascii="Arial" w:hAnsi="Arial" w:cs="Arial"/>
          <w:sz w:val="22"/>
          <w:szCs w:val="22"/>
        </w:rPr>
      </w:pPr>
      <w:r w:rsidRPr="005F42E2">
        <w:rPr>
          <w:rFonts w:ascii="Arial" w:hAnsi="Arial" w:cs="Arial"/>
          <w:sz w:val="22"/>
          <w:szCs w:val="22"/>
        </w:rPr>
        <w:t>inquiring into complaints and, where possible, effecting conciliation;</w:t>
      </w:r>
    </w:p>
    <w:p w:rsidR="005F42E2" w:rsidRPr="005F42E2" w:rsidRDefault="005F42E2" w:rsidP="00906F61">
      <w:pPr>
        <w:numPr>
          <w:ilvl w:val="0"/>
          <w:numId w:val="7"/>
        </w:numPr>
        <w:tabs>
          <w:tab w:val="num" w:pos="924"/>
        </w:tabs>
        <w:spacing w:before="120"/>
        <w:ind w:left="927"/>
        <w:jc w:val="both"/>
        <w:rPr>
          <w:rFonts w:ascii="Arial" w:hAnsi="Arial" w:cs="Arial"/>
          <w:sz w:val="22"/>
          <w:szCs w:val="22"/>
        </w:rPr>
      </w:pPr>
      <w:r w:rsidRPr="005F42E2">
        <w:rPr>
          <w:rFonts w:ascii="Arial" w:hAnsi="Arial" w:cs="Arial"/>
          <w:sz w:val="22"/>
          <w:szCs w:val="22"/>
        </w:rPr>
        <w:t>investigating contraventions of the Act;</w:t>
      </w:r>
    </w:p>
    <w:p w:rsidR="005F42E2" w:rsidRPr="005F42E2" w:rsidRDefault="005F42E2" w:rsidP="00906F61">
      <w:pPr>
        <w:numPr>
          <w:ilvl w:val="0"/>
          <w:numId w:val="7"/>
        </w:numPr>
        <w:tabs>
          <w:tab w:val="num" w:pos="924"/>
        </w:tabs>
        <w:spacing w:before="120"/>
        <w:ind w:left="927"/>
        <w:jc w:val="both"/>
        <w:rPr>
          <w:rFonts w:ascii="Arial" w:hAnsi="Arial" w:cs="Arial"/>
          <w:sz w:val="22"/>
          <w:szCs w:val="22"/>
        </w:rPr>
      </w:pPr>
      <w:r w:rsidRPr="005F42E2">
        <w:rPr>
          <w:rFonts w:ascii="Arial" w:hAnsi="Arial" w:cs="Arial"/>
          <w:sz w:val="22"/>
          <w:szCs w:val="22"/>
        </w:rPr>
        <w:t>examining Acts and proposed Acts, to determine whether they are, or would be, inconsistent with the purposes of Act, and reporting the results to the Minister;</w:t>
      </w:r>
    </w:p>
    <w:p w:rsidR="005F42E2" w:rsidRPr="005F42E2" w:rsidRDefault="005F42E2" w:rsidP="00906F61">
      <w:pPr>
        <w:numPr>
          <w:ilvl w:val="0"/>
          <w:numId w:val="7"/>
        </w:numPr>
        <w:tabs>
          <w:tab w:val="num" w:pos="924"/>
        </w:tabs>
        <w:spacing w:before="120"/>
        <w:ind w:left="927"/>
        <w:jc w:val="both"/>
        <w:rPr>
          <w:rFonts w:ascii="Arial" w:hAnsi="Arial" w:cs="Arial"/>
          <w:sz w:val="22"/>
          <w:szCs w:val="22"/>
        </w:rPr>
      </w:pPr>
      <w:r w:rsidRPr="005F42E2">
        <w:rPr>
          <w:rFonts w:ascii="Arial" w:hAnsi="Arial" w:cs="Arial"/>
          <w:sz w:val="22"/>
          <w:szCs w:val="22"/>
        </w:rPr>
        <w:t>undertaking research and educational programs to promote the purposes of the Act;</w:t>
      </w:r>
    </w:p>
    <w:p w:rsidR="005F42E2" w:rsidRPr="005F42E2" w:rsidRDefault="005F42E2" w:rsidP="00906F61">
      <w:pPr>
        <w:numPr>
          <w:ilvl w:val="0"/>
          <w:numId w:val="7"/>
        </w:numPr>
        <w:tabs>
          <w:tab w:val="num" w:pos="924"/>
        </w:tabs>
        <w:spacing w:before="120"/>
        <w:ind w:left="927"/>
        <w:jc w:val="both"/>
        <w:rPr>
          <w:rFonts w:ascii="Arial" w:hAnsi="Arial" w:cs="Arial"/>
          <w:sz w:val="22"/>
          <w:szCs w:val="22"/>
        </w:rPr>
      </w:pPr>
      <w:r w:rsidRPr="005F42E2">
        <w:rPr>
          <w:rFonts w:ascii="Arial" w:hAnsi="Arial" w:cs="Arial"/>
          <w:sz w:val="22"/>
          <w:szCs w:val="22"/>
        </w:rPr>
        <w:t>consulting with organisations to ascertain means of improving services and conditions affecting groups subject to contraventions of the Act;</w:t>
      </w:r>
    </w:p>
    <w:p w:rsidR="005F42E2" w:rsidRPr="005F42E2" w:rsidRDefault="005F42E2" w:rsidP="00906F61">
      <w:pPr>
        <w:numPr>
          <w:ilvl w:val="0"/>
          <w:numId w:val="7"/>
        </w:numPr>
        <w:tabs>
          <w:tab w:val="num" w:pos="924"/>
        </w:tabs>
        <w:spacing w:before="120"/>
        <w:ind w:left="927"/>
        <w:jc w:val="both"/>
        <w:rPr>
          <w:rFonts w:ascii="Arial" w:hAnsi="Arial" w:cs="Arial"/>
          <w:sz w:val="22"/>
          <w:szCs w:val="22"/>
        </w:rPr>
      </w:pPr>
      <w:r w:rsidRPr="005F42E2">
        <w:rPr>
          <w:rFonts w:ascii="Arial" w:hAnsi="Arial" w:cs="Arial"/>
          <w:sz w:val="22"/>
          <w:szCs w:val="22"/>
        </w:rPr>
        <w:t>such functions conferred on the Commission under another Act or under an arrangement with the Commonwealth;</w:t>
      </w:r>
    </w:p>
    <w:p w:rsidR="005F42E2" w:rsidRPr="005F42E2" w:rsidRDefault="005F42E2" w:rsidP="00906F61">
      <w:pPr>
        <w:numPr>
          <w:ilvl w:val="0"/>
          <w:numId w:val="7"/>
        </w:numPr>
        <w:tabs>
          <w:tab w:val="num" w:pos="924"/>
        </w:tabs>
        <w:spacing w:before="120"/>
        <w:ind w:left="927"/>
        <w:jc w:val="both"/>
        <w:rPr>
          <w:rFonts w:ascii="Arial" w:hAnsi="Arial" w:cs="Arial"/>
          <w:sz w:val="22"/>
          <w:szCs w:val="22"/>
        </w:rPr>
      </w:pPr>
      <w:r w:rsidRPr="005F42E2">
        <w:rPr>
          <w:rFonts w:ascii="Arial" w:hAnsi="Arial" w:cs="Arial"/>
          <w:sz w:val="22"/>
          <w:szCs w:val="22"/>
        </w:rPr>
        <w:t>promoting an understanding and acceptance, and the public discussion, of human rights in Queensland; and</w:t>
      </w:r>
    </w:p>
    <w:p w:rsidR="005F42E2" w:rsidRPr="005F42E2" w:rsidRDefault="005F42E2" w:rsidP="00906F61">
      <w:pPr>
        <w:numPr>
          <w:ilvl w:val="0"/>
          <w:numId w:val="7"/>
        </w:numPr>
        <w:tabs>
          <w:tab w:val="num" w:pos="924"/>
        </w:tabs>
        <w:spacing w:before="120"/>
        <w:ind w:left="927"/>
        <w:jc w:val="both"/>
        <w:rPr>
          <w:rFonts w:ascii="Arial" w:hAnsi="Arial" w:cs="Arial"/>
          <w:sz w:val="22"/>
          <w:szCs w:val="22"/>
        </w:rPr>
      </w:pPr>
      <w:r w:rsidRPr="005F42E2">
        <w:rPr>
          <w:rFonts w:ascii="Arial" w:hAnsi="Arial" w:cs="Arial"/>
          <w:sz w:val="22"/>
          <w:szCs w:val="22"/>
        </w:rPr>
        <w:t>if the Commission considers it appropriate to do so – intervening in a Court proceeding that involves human rights issues.</w:t>
      </w:r>
    </w:p>
    <w:p w:rsidR="003E13DD" w:rsidRDefault="003E13DD" w:rsidP="00906F61">
      <w:pPr>
        <w:numPr>
          <w:ilvl w:val="0"/>
          <w:numId w:val="6"/>
        </w:numPr>
        <w:tabs>
          <w:tab w:val="clear" w:pos="360"/>
          <w:tab w:val="num" w:pos="564"/>
        </w:tabs>
        <w:spacing w:before="240"/>
        <w:ind w:left="567" w:hanging="567"/>
        <w:jc w:val="both"/>
        <w:rPr>
          <w:rFonts w:ascii="Arial" w:hAnsi="Arial" w:cs="Arial"/>
          <w:sz w:val="22"/>
          <w:szCs w:val="22"/>
        </w:rPr>
      </w:pPr>
      <w:r w:rsidRPr="0087570D">
        <w:rPr>
          <w:rFonts w:ascii="Arial" w:hAnsi="Arial" w:cs="Arial"/>
          <w:sz w:val="22"/>
          <w:szCs w:val="22"/>
          <w:u w:val="single"/>
        </w:rPr>
        <w:t>Cabinet endorsed</w:t>
      </w:r>
      <w:r w:rsidRPr="003E13DD">
        <w:rPr>
          <w:rFonts w:ascii="Arial" w:hAnsi="Arial" w:cs="Arial"/>
          <w:sz w:val="22"/>
          <w:szCs w:val="22"/>
        </w:rPr>
        <w:t xml:space="preserve"> that Mr </w:t>
      </w:r>
      <w:r w:rsidR="00516220">
        <w:rPr>
          <w:rFonts w:ascii="Arial" w:hAnsi="Arial" w:cs="Arial"/>
          <w:sz w:val="22"/>
          <w:szCs w:val="22"/>
        </w:rPr>
        <w:t>Kevin Cocks</w:t>
      </w:r>
      <w:r w:rsidRPr="003E13DD">
        <w:rPr>
          <w:rFonts w:ascii="Arial" w:hAnsi="Arial" w:cs="Arial"/>
          <w:sz w:val="22"/>
          <w:szCs w:val="22"/>
        </w:rPr>
        <w:t xml:space="preserve"> be recommended to the Governor in Council for reappointment as the </w:t>
      </w:r>
      <w:r w:rsidR="00516220">
        <w:rPr>
          <w:rFonts w:ascii="Arial" w:hAnsi="Arial" w:cs="Arial"/>
          <w:sz w:val="22"/>
          <w:szCs w:val="22"/>
        </w:rPr>
        <w:t xml:space="preserve">Anti-Discrimination Commissioner </w:t>
      </w:r>
      <w:r w:rsidRPr="003E13DD">
        <w:rPr>
          <w:rFonts w:ascii="Arial" w:hAnsi="Arial" w:cs="Arial"/>
          <w:sz w:val="22"/>
          <w:szCs w:val="22"/>
        </w:rPr>
        <w:t>for a</w:t>
      </w:r>
      <w:r w:rsidR="008421CD">
        <w:rPr>
          <w:rFonts w:ascii="Arial" w:hAnsi="Arial" w:cs="Arial"/>
          <w:sz w:val="22"/>
          <w:szCs w:val="22"/>
        </w:rPr>
        <w:t xml:space="preserve"> further</w:t>
      </w:r>
      <w:r w:rsidR="00D10C21">
        <w:rPr>
          <w:rFonts w:ascii="Arial" w:hAnsi="Arial" w:cs="Arial"/>
          <w:sz w:val="22"/>
          <w:szCs w:val="22"/>
        </w:rPr>
        <w:t xml:space="preserve"> </w:t>
      </w:r>
      <w:r w:rsidRPr="003E13DD">
        <w:rPr>
          <w:rFonts w:ascii="Arial" w:hAnsi="Arial" w:cs="Arial"/>
          <w:sz w:val="22"/>
          <w:szCs w:val="22"/>
        </w:rPr>
        <w:t xml:space="preserve"> term of </w:t>
      </w:r>
      <w:r w:rsidR="000A612F">
        <w:rPr>
          <w:rFonts w:ascii="Arial" w:hAnsi="Arial" w:cs="Arial"/>
          <w:sz w:val="22"/>
          <w:szCs w:val="22"/>
        </w:rPr>
        <w:t>two</w:t>
      </w:r>
      <w:r w:rsidRPr="003E13DD">
        <w:rPr>
          <w:rFonts w:ascii="Arial" w:hAnsi="Arial" w:cs="Arial"/>
          <w:sz w:val="22"/>
          <w:szCs w:val="22"/>
        </w:rPr>
        <w:t xml:space="preserve"> years</w:t>
      </w:r>
      <w:r w:rsidR="00516220">
        <w:rPr>
          <w:rFonts w:ascii="Arial" w:hAnsi="Arial" w:cs="Arial"/>
          <w:sz w:val="22"/>
          <w:szCs w:val="22"/>
        </w:rPr>
        <w:t xml:space="preserve"> </w:t>
      </w:r>
      <w:r w:rsidRPr="003E13DD">
        <w:rPr>
          <w:rFonts w:ascii="Arial" w:hAnsi="Arial" w:cs="Arial"/>
          <w:sz w:val="22"/>
          <w:szCs w:val="22"/>
        </w:rPr>
        <w:t>commencing on</w:t>
      </w:r>
      <w:r w:rsidR="00516220">
        <w:rPr>
          <w:rFonts w:ascii="Arial" w:hAnsi="Arial" w:cs="Arial"/>
          <w:sz w:val="22"/>
          <w:szCs w:val="22"/>
        </w:rPr>
        <w:t xml:space="preserve"> 7 February 201</w:t>
      </w:r>
      <w:r w:rsidR="000A612F">
        <w:rPr>
          <w:rFonts w:ascii="Arial" w:hAnsi="Arial" w:cs="Arial"/>
          <w:sz w:val="22"/>
          <w:szCs w:val="22"/>
        </w:rPr>
        <w:t>6</w:t>
      </w:r>
      <w:r w:rsidR="00516220">
        <w:rPr>
          <w:rFonts w:ascii="Arial" w:hAnsi="Arial" w:cs="Arial"/>
          <w:sz w:val="22"/>
          <w:szCs w:val="22"/>
        </w:rPr>
        <w:t xml:space="preserve"> up to and including 6 February 2018.</w:t>
      </w:r>
    </w:p>
    <w:p w:rsidR="007B7F10" w:rsidRPr="0066385E" w:rsidRDefault="00580C3E" w:rsidP="00906F61">
      <w:pPr>
        <w:numPr>
          <w:ilvl w:val="0"/>
          <w:numId w:val="6"/>
        </w:numPr>
        <w:tabs>
          <w:tab w:val="clear" w:pos="360"/>
          <w:tab w:val="num" w:pos="564"/>
        </w:tabs>
        <w:spacing w:before="360"/>
        <w:ind w:left="567" w:hanging="567"/>
        <w:jc w:val="both"/>
        <w:rPr>
          <w:rFonts w:ascii="Arial" w:hAnsi="Arial" w:cs="Arial"/>
          <w:i/>
          <w:sz w:val="22"/>
          <w:szCs w:val="22"/>
        </w:rPr>
      </w:pPr>
      <w:r w:rsidRPr="0066385E">
        <w:rPr>
          <w:rFonts w:ascii="Arial" w:hAnsi="Arial" w:cs="Arial"/>
          <w:i/>
          <w:sz w:val="22"/>
          <w:szCs w:val="22"/>
          <w:u w:val="single"/>
        </w:rPr>
        <w:t>Attachments</w:t>
      </w:r>
    </w:p>
    <w:p w:rsidR="00580C3E" w:rsidRPr="0066385E" w:rsidRDefault="00580C3E" w:rsidP="00906F61">
      <w:pPr>
        <w:pStyle w:val="ListParagraph"/>
        <w:numPr>
          <w:ilvl w:val="0"/>
          <w:numId w:val="8"/>
        </w:numPr>
        <w:tabs>
          <w:tab w:val="left" w:pos="851"/>
        </w:tabs>
        <w:spacing w:before="120"/>
        <w:ind w:left="992" w:hanging="425"/>
        <w:contextualSpacing w:val="0"/>
        <w:jc w:val="both"/>
        <w:rPr>
          <w:rFonts w:ascii="Arial" w:hAnsi="Arial" w:cs="Arial"/>
          <w:sz w:val="22"/>
          <w:szCs w:val="22"/>
        </w:rPr>
      </w:pPr>
      <w:r w:rsidRPr="0066385E">
        <w:rPr>
          <w:rFonts w:ascii="Arial" w:hAnsi="Arial" w:cs="Arial"/>
          <w:sz w:val="22"/>
          <w:szCs w:val="22"/>
        </w:rPr>
        <w:t>Nil</w:t>
      </w:r>
      <w:r w:rsidR="0066385E" w:rsidRPr="0066385E">
        <w:rPr>
          <w:rFonts w:ascii="Arial" w:hAnsi="Arial" w:cs="Arial"/>
          <w:sz w:val="22"/>
          <w:szCs w:val="22"/>
        </w:rPr>
        <w:t>.</w:t>
      </w:r>
    </w:p>
    <w:p w:rsidR="00504594" w:rsidRPr="003E13DD" w:rsidRDefault="00504594" w:rsidP="0066385E">
      <w:pPr>
        <w:spacing w:before="200"/>
        <w:rPr>
          <w:sz w:val="22"/>
          <w:szCs w:val="22"/>
        </w:rPr>
      </w:pPr>
    </w:p>
    <w:sectPr w:rsidR="00504594" w:rsidRPr="003E13DD" w:rsidSect="00B75161">
      <w:headerReference w:type="defaul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466" w:rsidRDefault="00364466" w:rsidP="002E75A1">
      <w:r>
        <w:separator/>
      </w:r>
    </w:p>
  </w:endnote>
  <w:endnote w:type="continuationSeparator" w:id="0">
    <w:p w:rsidR="00364466" w:rsidRDefault="00364466" w:rsidP="002E7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466" w:rsidRDefault="00364466" w:rsidP="002E75A1">
      <w:r>
        <w:separator/>
      </w:r>
    </w:p>
  </w:footnote>
  <w:footnote w:type="continuationSeparator" w:id="0">
    <w:p w:rsidR="00364466" w:rsidRDefault="00364466" w:rsidP="002E75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F8E" w:rsidRPr="00937A4A" w:rsidRDefault="008C0F8E" w:rsidP="008C0F8E">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8C0F8E" w:rsidRPr="00937A4A" w:rsidRDefault="008C0F8E" w:rsidP="008C0F8E">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8C0F8E" w:rsidRPr="00937A4A" w:rsidRDefault="008C0F8E" w:rsidP="008C0F8E">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November 2015</w:t>
    </w:r>
  </w:p>
  <w:p w:rsidR="008C0F8E" w:rsidRPr="003E13DD" w:rsidRDefault="008C0F8E" w:rsidP="008C0F8E">
    <w:pPr>
      <w:spacing w:before="240"/>
      <w:jc w:val="both"/>
      <w:rPr>
        <w:rFonts w:ascii="Arial" w:hAnsi="Arial" w:cs="Arial"/>
        <w:b/>
        <w:sz w:val="22"/>
        <w:szCs w:val="22"/>
        <w:u w:val="single"/>
      </w:rPr>
    </w:pPr>
    <w:r w:rsidRPr="003E13DD">
      <w:rPr>
        <w:rFonts w:ascii="Arial" w:hAnsi="Arial" w:cs="Arial"/>
        <w:b/>
        <w:sz w:val="22"/>
        <w:szCs w:val="22"/>
        <w:u w:val="single"/>
      </w:rPr>
      <w:t>Reappointment of the Anti-Discrimination Commissioner</w:t>
    </w:r>
  </w:p>
  <w:p w:rsidR="008C0F8E" w:rsidRPr="003E13DD" w:rsidRDefault="008C0F8E" w:rsidP="008C0F8E">
    <w:pPr>
      <w:pStyle w:val="Header"/>
      <w:spacing w:before="120"/>
      <w:rPr>
        <w:rFonts w:ascii="Arial" w:hAnsi="Arial" w:cs="Arial"/>
        <w:sz w:val="22"/>
        <w:szCs w:val="22"/>
        <w:u w:val="single"/>
      </w:rPr>
    </w:pPr>
    <w:r w:rsidRPr="003E13DD">
      <w:rPr>
        <w:rFonts w:ascii="Arial" w:hAnsi="Arial" w:cs="Arial"/>
        <w:b/>
        <w:sz w:val="22"/>
        <w:szCs w:val="22"/>
        <w:u w:val="single"/>
      </w:rPr>
      <w:t>Attorney-General and Minister for Justice</w:t>
    </w:r>
    <w:r>
      <w:rPr>
        <w:rFonts w:ascii="Arial" w:hAnsi="Arial" w:cs="Arial"/>
        <w:b/>
        <w:sz w:val="22"/>
        <w:szCs w:val="22"/>
        <w:u w:val="single"/>
      </w:rPr>
      <w:t xml:space="preserve"> and Minister for Training and Skills</w:t>
    </w:r>
  </w:p>
  <w:p w:rsidR="00504594" w:rsidRPr="002E75A1" w:rsidRDefault="00504594" w:rsidP="00AD7F80">
    <w:pPr>
      <w:pStyle w:val="Header"/>
      <w:pBdr>
        <w:bottom w:val="single" w:sz="4" w:space="1" w:color="auto"/>
      </w:pBdr>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11A27"/>
    <w:multiLevelType w:val="hybridMultilevel"/>
    <w:tmpl w:val="0398332E"/>
    <w:lvl w:ilvl="0" w:tplc="0C09000F">
      <w:start w:val="1"/>
      <w:numFmt w:val="decimal"/>
      <w:lvlText w:val="%1."/>
      <w:lvlJc w:val="left"/>
      <w:pPr>
        <w:tabs>
          <w:tab w:val="num" w:pos="720"/>
        </w:tabs>
        <w:ind w:left="720" w:hanging="360"/>
      </w:pPr>
      <w:rPr>
        <w:rFonts w:cs="Times New Roman"/>
      </w:rPr>
    </w:lvl>
    <w:lvl w:ilvl="1" w:tplc="0C090001">
      <w:start w:val="1"/>
      <w:numFmt w:val="bullet"/>
      <w:lvlText w:val=""/>
      <w:lvlJc w:val="left"/>
      <w:pPr>
        <w:tabs>
          <w:tab w:val="num" w:pos="1440"/>
        </w:tabs>
        <w:ind w:left="1440" w:hanging="360"/>
      </w:pPr>
      <w:rPr>
        <w:rFonts w:ascii="Symbol" w:hAnsi="Symbol" w:hint="default"/>
      </w:rPr>
    </w:lvl>
    <w:lvl w:ilvl="2" w:tplc="8AB61106">
      <w:start w:val="1"/>
      <w:numFmt w:val="bullet"/>
      <w:lvlText w:val="-"/>
      <w:lvlJc w:val="left"/>
      <w:pPr>
        <w:tabs>
          <w:tab w:val="num" w:pos="2340"/>
        </w:tabs>
        <w:ind w:left="2340" w:hanging="360"/>
      </w:pPr>
      <w:rPr>
        <w:rFonts w:ascii="Arial" w:hAnsi="Arial" w:hint="default"/>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67835F4"/>
    <w:multiLevelType w:val="hybridMultilevel"/>
    <w:tmpl w:val="216233B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16F72E34"/>
    <w:multiLevelType w:val="multilevel"/>
    <w:tmpl w:val="BE5085DA"/>
    <w:styleLink w:val="cabinet"/>
    <w:lvl w:ilvl="0">
      <w:start w:val="1"/>
      <w:numFmt w:val="decimal"/>
      <w:pStyle w:val="StyleJustified"/>
      <w:lvlText w:val="%1."/>
      <w:lvlJc w:val="left"/>
      <w:pPr>
        <w:tabs>
          <w:tab w:val="num" w:pos="567"/>
        </w:tabs>
        <w:ind w:left="567" w:hanging="567"/>
      </w:pPr>
      <w:rPr>
        <w:rFonts w:hint="default"/>
        <w:spacing w:val="20"/>
        <w:position w:val="0"/>
      </w:rPr>
    </w:lvl>
    <w:lvl w:ilvl="1">
      <w:start w:val="1"/>
      <w:numFmt w:val="lowerLetter"/>
      <w:pStyle w:val="Cabinet2text"/>
      <w:lvlText w:val="(%2)"/>
      <w:lvlJc w:val="left"/>
      <w:pPr>
        <w:tabs>
          <w:tab w:val="num" w:pos="1021"/>
        </w:tabs>
        <w:ind w:left="1021" w:hanging="454"/>
      </w:pPr>
      <w:rPr>
        <w:rFonts w:hint="default"/>
      </w:rPr>
    </w:lvl>
    <w:lvl w:ilvl="2">
      <w:start w:val="1"/>
      <w:numFmt w:val="lowerRoman"/>
      <w:pStyle w:val="Cabinet3text"/>
      <w:lvlText w:val="(%3)"/>
      <w:lvlJc w:val="left"/>
      <w:pPr>
        <w:tabs>
          <w:tab w:val="num" w:pos="1474"/>
        </w:tabs>
        <w:ind w:left="1474" w:hanging="453"/>
      </w:pPr>
      <w:rPr>
        <w:rFonts w:hint="default"/>
      </w:rPr>
    </w:lvl>
    <w:lvl w:ilvl="3">
      <w:start w:val="1"/>
      <w:numFmt w:val="bullet"/>
      <w:pStyle w:val="Cabinet4text"/>
      <w:lvlText w:val=""/>
      <w:lvlJc w:val="left"/>
      <w:pPr>
        <w:tabs>
          <w:tab w:val="num" w:pos="1928"/>
        </w:tabs>
        <w:ind w:left="1928" w:hanging="454"/>
      </w:pPr>
      <w:rPr>
        <w:rFonts w:ascii="Symbol" w:hAnsi="Symbol" w:hint="default"/>
      </w:rPr>
    </w:lvl>
    <w:lvl w:ilvl="4">
      <w:start w:val="1"/>
      <w:numFmt w:val="bullet"/>
      <w:pStyle w:val="cabinet5text"/>
      <w:lvlText w:val="-"/>
      <w:lvlJc w:val="left"/>
      <w:pPr>
        <w:tabs>
          <w:tab w:val="num" w:pos="2381"/>
        </w:tabs>
        <w:ind w:left="2381" w:hanging="453"/>
      </w:pPr>
      <w:rPr>
        <w:rFonts w:ascii="Times New Roman" w:hAnsi="Times New Roman" w:cs="Times New Roman" w:hint="default"/>
      </w:rPr>
    </w:lvl>
    <w:lvl w:ilvl="5">
      <w:start w:val="1"/>
      <w:numFmt w:val="bullet"/>
      <w:lvlText w:val="-"/>
      <w:lvlJc w:val="left"/>
      <w:pPr>
        <w:tabs>
          <w:tab w:val="num" w:pos="2381"/>
        </w:tabs>
        <w:ind w:left="2381" w:hanging="453"/>
      </w:pPr>
      <w:rPr>
        <w:rFonts w:ascii="Times New Roman" w:hAnsi="Times New Roman" w:cs="Times New Roman" w:hint="default"/>
      </w:rPr>
    </w:lvl>
    <w:lvl w:ilvl="6">
      <w:start w:val="1"/>
      <w:numFmt w:val="bullet"/>
      <w:lvlText w:val="-"/>
      <w:lvlJc w:val="left"/>
      <w:pPr>
        <w:tabs>
          <w:tab w:val="num" w:pos="2381"/>
        </w:tabs>
        <w:ind w:left="2381" w:hanging="453"/>
      </w:pPr>
      <w:rPr>
        <w:rFonts w:ascii="Times New Roman" w:hAnsi="Times New Roman" w:cs="Times New Roman" w:hint="default"/>
      </w:rPr>
    </w:lvl>
    <w:lvl w:ilvl="7">
      <w:start w:val="1"/>
      <w:numFmt w:val="bullet"/>
      <w:lvlText w:val="-"/>
      <w:lvlJc w:val="left"/>
      <w:pPr>
        <w:tabs>
          <w:tab w:val="num" w:pos="2381"/>
        </w:tabs>
        <w:ind w:left="2381" w:hanging="453"/>
      </w:pPr>
      <w:rPr>
        <w:rFonts w:ascii="Times New Roman" w:hAnsi="Times New Roman" w:cs="Times New Roman" w:hint="default"/>
      </w:rPr>
    </w:lvl>
    <w:lvl w:ilvl="8">
      <w:start w:val="1"/>
      <w:numFmt w:val="bullet"/>
      <w:lvlText w:val="-"/>
      <w:lvlJc w:val="left"/>
      <w:pPr>
        <w:tabs>
          <w:tab w:val="num" w:pos="2381"/>
        </w:tabs>
        <w:ind w:left="2381" w:hanging="453"/>
      </w:pPr>
      <w:rPr>
        <w:rFonts w:ascii="Times New Roman" w:hAnsi="Times New Roman" w:cs="Times New Roman" w:hint="default"/>
      </w:rPr>
    </w:lvl>
  </w:abstractNum>
  <w:abstractNum w:abstractNumId="3" w15:restartNumberingAfterBreak="0">
    <w:nsid w:val="1CFB0F54"/>
    <w:multiLevelType w:val="hybridMultilevel"/>
    <w:tmpl w:val="F88A5544"/>
    <w:lvl w:ilvl="0" w:tplc="A8C405F2">
      <w:start w:val="1"/>
      <w:numFmt w:val="decimal"/>
      <w:lvlText w:val="%1."/>
      <w:lvlJc w:val="left"/>
      <w:pPr>
        <w:tabs>
          <w:tab w:val="num" w:pos="360"/>
        </w:tabs>
        <w:ind w:left="360" w:hanging="360"/>
      </w:pPr>
      <w:rPr>
        <w:rFonts w:ascii="Arial" w:hAnsi="Arial" w:cs="Arial" w:hint="default"/>
        <w:b w:val="0"/>
        <w:i w:val="0"/>
      </w:rPr>
    </w:lvl>
    <w:lvl w:ilvl="1" w:tplc="524A6458">
      <w:start w:val="1"/>
      <w:numFmt w:val="lowerLetter"/>
      <w:lvlText w:val="(%2)"/>
      <w:lvlJc w:val="left"/>
      <w:pPr>
        <w:tabs>
          <w:tab w:val="num" w:pos="1440"/>
        </w:tabs>
        <w:ind w:left="1440" w:hanging="360"/>
      </w:pPr>
      <w:rPr>
        <w:rFonts w:hint="default"/>
        <w:b w:val="0"/>
      </w:r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15:restartNumberingAfterBreak="0">
    <w:nsid w:val="53F943E4"/>
    <w:multiLevelType w:val="hybridMultilevel"/>
    <w:tmpl w:val="A9C4553C"/>
    <w:lvl w:ilvl="0" w:tplc="0C09000F">
      <w:start w:val="1"/>
      <w:numFmt w:val="decimal"/>
      <w:lvlText w:val="%1."/>
      <w:lvlJc w:val="left"/>
      <w:pPr>
        <w:tabs>
          <w:tab w:val="num" w:pos="720"/>
        </w:tabs>
        <w:ind w:left="720" w:hanging="360"/>
      </w:pPr>
      <w:rPr>
        <w:rFonts w:cs="Times New Roman"/>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9867F8D"/>
    <w:multiLevelType w:val="hybridMultilevel"/>
    <w:tmpl w:val="55540C62"/>
    <w:lvl w:ilvl="0" w:tplc="E36AF4B6">
      <w:start w:val="1"/>
      <w:numFmt w:val="lowerLetter"/>
      <w:lvlText w:val="(%1)"/>
      <w:lvlJc w:val="left"/>
      <w:pPr>
        <w:tabs>
          <w:tab w:val="num" w:pos="5039"/>
        </w:tabs>
        <w:ind w:left="5039" w:hanging="360"/>
      </w:pPr>
      <w:rPr>
        <w:rFonts w:hint="default"/>
      </w:rPr>
    </w:lvl>
    <w:lvl w:ilvl="1" w:tplc="0C090019" w:tentative="1">
      <w:start w:val="1"/>
      <w:numFmt w:val="lowerLetter"/>
      <w:lvlText w:val="%2."/>
      <w:lvlJc w:val="left"/>
      <w:pPr>
        <w:tabs>
          <w:tab w:val="num" w:pos="6119"/>
        </w:tabs>
        <w:ind w:left="6119" w:hanging="360"/>
      </w:pPr>
    </w:lvl>
    <w:lvl w:ilvl="2" w:tplc="0C09001B" w:tentative="1">
      <w:start w:val="1"/>
      <w:numFmt w:val="lowerRoman"/>
      <w:lvlText w:val="%3."/>
      <w:lvlJc w:val="right"/>
      <w:pPr>
        <w:tabs>
          <w:tab w:val="num" w:pos="6839"/>
        </w:tabs>
        <w:ind w:left="6839" w:hanging="180"/>
      </w:pPr>
    </w:lvl>
    <w:lvl w:ilvl="3" w:tplc="0C09000F" w:tentative="1">
      <w:start w:val="1"/>
      <w:numFmt w:val="decimal"/>
      <w:lvlText w:val="%4."/>
      <w:lvlJc w:val="left"/>
      <w:pPr>
        <w:tabs>
          <w:tab w:val="num" w:pos="7559"/>
        </w:tabs>
        <w:ind w:left="7559" w:hanging="360"/>
      </w:pPr>
    </w:lvl>
    <w:lvl w:ilvl="4" w:tplc="0C090019" w:tentative="1">
      <w:start w:val="1"/>
      <w:numFmt w:val="lowerLetter"/>
      <w:lvlText w:val="%5."/>
      <w:lvlJc w:val="left"/>
      <w:pPr>
        <w:tabs>
          <w:tab w:val="num" w:pos="8279"/>
        </w:tabs>
        <w:ind w:left="8279" w:hanging="360"/>
      </w:pPr>
    </w:lvl>
    <w:lvl w:ilvl="5" w:tplc="0C09001B" w:tentative="1">
      <w:start w:val="1"/>
      <w:numFmt w:val="lowerRoman"/>
      <w:lvlText w:val="%6."/>
      <w:lvlJc w:val="right"/>
      <w:pPr>
        <w:tabs>
          <w:tab w:val="num" w:pos="8999"/>
        </w:tabs>
        <w:ind w:left="8999" w:hanging="180"/>
      </w:pPr>
    </w:lvl>
    <w:lvl w:ilvl="6" w:tplc="0C09000F" w:tentative="1">
      <w:start w:val="1"/>
      <w:numFmt w:val="decimal"/>
      <w:lvlText w:val="%7."/>
      <w:lvlJc w:val="left"/>
      <w:pPr>
        <w:tabs>
          <w:tab w:val="num" w:pos="9719"/>
        </w:tabs>
        <w:ind w:left="9719" w:hanging="360"/>
      </w:pPr>
    </w:lvl>
    <w:lvl w:ilvl="7" w:tplc="0C090019" w:tentative="1">
      <w:start w:val="1"/>
      <w:numFmt w:val="lowerLetter"/>
      <w:lvlText w:val="%8."/>
      <w:lvlJc w:val="left"/>
      <w:pPr>
        <w:tabs>
          <w:tab w:val="num" w:pos="10439"/>
        </w:tabs>
        <w:ind w:left="10439" w:hanging="360"/>
      </w:pPr>
    </w:lvl>
    <w:lvl w:ilvl="8" w:tplc="0C09001B" w:tentative="1">
      <w:start w:val="1"/>
      <w:numFmt w:val="lowerRoman"/>
      <w:lvlText w:val="%9."/>
      <w:lvlJc w:val="right"/>
      <w:pPr>
        <w:tabs>
          <w:tab w:val="num" w:pos="11159"/>
        </w:tabs>
        <w:ind w:left="11159" w:hanging="180"/>
      </w:pPr>
    </w:lvl>
  </w:abstractNum>
  <w:abstractNum w:abstractNumId="6"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2"/>
    <w:lvlOverride w:ilvl="0">
      <w:lvl w:ilvl="0">
        <w:start w:val="1"/>
        <w:numFmt w:val="decimal"/>
        <w:pStyle w:val="StyleJustified"/>
        <w:lvlText w:val="%1."/>
        <w:lvlJc w:val="left"/>
        <w:pPr>
          <w:tabs>
            <w:tab w:val="num" w:pos="567"/>
          </w:tabs>
          <w:ind w:left="567" w:hanging="567"/>
        </w:pPr>
        <w:rPr>
          <w:rFonts w:hint="default"/>
          <w:b w:val="0"/>
          <w:spacing w:val="20"/>
          <w:position w:val="0"/>
        </w:rPr>
      </w:lvl>
    </w:lvlOverride>
    <w:lvlOverride w:ilvl="1">
      <w:lvl w:ilvl="1">
        <w:start w:val="1"/>
        <w:numFmt w:val="lowerLetter"/>
        <w:pStyle w:val="Cabinet2text"/>
        <w:lvlText w:val="(%2)"/>
        <w:lvlJc w:val="left"/>
        <w:pPr>
          <w:tabs>
            <w:tab w:val="num" w:pos="1021"/>
          </w:tabs>
          <w:ind w:left="1021" w:hanging="454"/>
        </w:pPr>
        <w:rPr>
          <w:rFonts w:hint="default"/>
        </w:rPr>
      </w:lvl>
    </w:lvlOverride>
    <w:lvlOverride w:ilvl="2">
      <w:lvl w:ilvl="2">
        <w:start w:val="1"/>
        <w:numFmt w:val="lowerRoman"/>
        <w:pStyle w:val="Cabinet3text"/>
        <w:lvlText w:val="(%3)"/>
        <w:lvlJc w:val="left"/>
        <w:pPr>
          <w:tabs>
            <w:tab w:val="num" w:pos="1474"/>
          </w:tabs>
          <w:ind w:left="1474" w:hanging="453"/>
        </w:pPr>
        <w:rPr>
          <w:rFonts w:hint="default"/>
        </w:rPr>
      </w:lvl>
    </w:lvlOverride>
    <w:lvlOverride w:ilvl="3">
      <w:lvl w:ilvl="3">
        <w:start w:val="1"/>
        <w:numFmt w:val="bullet"/>
        <w:pStyle w:val="Cabinet4text"/>
        <w:lvlText w:val=""/>
        <w:lvlJc w:val="left"/>
        <w:pPr>
          <w:tabs>
            <w:tab w:val="num" w:pos="1928"/>
          </w:tabs>
          <w:ind w:left="1928" w:hanging="454"/>
        </w:pPr>
        <w:rPr>
          <w:rFonts w:ascii="Symbol" w:hAnsi="Symbol" w:hint="default"/>
        </w:rPr>
      </w:lvl>
    </w:lvlOverride>
    <w:lvlOverride w:ilvl="4">
      <w:lvl w:ilvl="4">
        <w:start w:val="1"/>
        <w:numFmt w:val="bullet"/>
        <w:pStyle w:val="cabinet5text"/>
        <w:lvlText w:val="-"/>
        <w:lvlJc w:val="left"/>
        <w:pPr>
          <w:tabs>
            <w:tab w:val="num" w:pos="2381"/>
          </w:tabs>
          <w:ind w:left="2381" w:hanging="453"/>
        </w:pPr>
        <w:rPr>
          <w:rFonts w:ascii="Times New Roman" w:hAnsi="Times New Roman" w:cs="Times New Roman" w:hint="default"/>
        </w:rPr>
      </w:lvl>
    </w:lvlOverride>
    <w:lvlOverride w:ilvl="5">
      <w:lvl w:ilvl="5">
        <w:start w:val="1"/>
        <w:numFmt w:val="bullet"/>
        <w:lvlText w:val="-"/>
        <w:lvlJc w:val="left"/>
        <w:pPr>
          <w:tabs>
            <w:tab w:val="num" w:pos="2381"/>
          </w:tabs>
          <w:ind w:left="2381" w:hanging="453"/>
        </w:pPr>
        <w:rPr>
          <w:rFonts w:ascii="Times New Roman" w:hAnsi="Times New Roman" w:cs="Times New Roman" w:hint="default"/>
        </w:rPr>
      </w:lvl>
    </w:lvlOverride>
    <w:lvlOverride w:ilvl="6">
      <w:lvl w:ilvl="6">
        <w:start w:val="1"/>
        <w:numFmt w:val="bullet"/>
        <w:lvlText w:val="-"/>
        <w:lvlJc w:val="left"/>
        <w:pPr>
          <w:tabs>
            <w:tab w:val="num" w:pos="2381"/>
          </w:tabs>
          <w:ind w:left="2381" w:hanging="453"/>
        </w:pPr>
        <w:rPr>
          <w:rFonts w:ascii="Times New Roman" w:hAnsi="Times New Roman" w:cs="Times New Roman" w:hint="default"/>
        </w:rPr>
      </w:lvl>
    </w:lvlOverride>
    <w:lvlOverride w:ilvl="7">
      <w:lvl w:ilvl="7">
        <w:start w:val="1"/>
        <w:numFmt w:val="bullet"/>
        <w:lvlText w:val="-"/>
        <w:lvlJc w:val="left"/>
        <w:pPr>
          <w:tabs>
            <w:tab w:val="num" w:pos="2381"/>
          </w:tabs>
          <w:ind w:left="2381" w:hanging="453"/>
        </w:pPr>
        <w:rPr>
          <w:rFonts w:ascii="Times New Roman" w:hAnsi="Times New Roman" w:cs="Times New Roman" w:hint="default"/>
        </w:rPr>
      </w:lvl>
    </w:lvlOverride>
    <w:lvlOverride w:ilvl="8">
      <w:lvl w:ilvl="8">
        <w:start w:val="1"/>
        <w:numFmt w:val="bullet"/>
        <w:lvlText w:val="-"/>
        <w:lvlJc w:val="left"/>
        <w:pPr>
          <w:tabs>
            <w:tab w:val="num" w:pos="2381"/>
          </w:tabs>
          <w:ind w:left="2381" w:hanging="453"/>
        </w:pPr>
        <w:rPr>
          <w:rFonts w:ascii="Times New Roman" w:hAnsi="Times New Roman" w:cs="Times New Roman" w:hint="default"/>
        </w:rPr>
      </w:lvl>
    </w:lvlOverride>
  </w:num>
  <w:num w:numId="3">
    <w:abstractNumId w:val="4"/>
  </w:num>
  <w:num w:numId="4">
    <w:abstractNumId w:val="0"/>
  </w:num>
  <w:num w:numId="5">
    <w:abstractNumId w:val="2"/>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3DD"/>
    <w:rsid w:val="000001D7"/>
    <w:rsid w:val="00026AFA"/>
    <w:rsid w:val="00031FD4"/>
    <w:rsid w:val="00042FB7"/>
    <w:rsid w:val="000A612F"/>
    <w:rsid w:val="000B21C3"/>
    <w:rsid w:val="000D3857"/>
    <w:rsid w:val="000D42A5"/>
    <w:rsid w:val="001270B5"/>
    <w:rsid w:val="00175551"/>
    <w:rsid w:val="001773D4"/>
    <w:rsid w:val="001A33C6"/>
    <w:rsid w:val="001B3157"/>
    <w:rsid w:val="001F4CEC"/>
    <w:rsid w:val="00224947"/>
    <w:rsid w:val="00227CE9"/>
    <w:rsid w:val="00234A85"/>
    <w:rsid w:val="00241C3D"/>
    <w:rsid w:val="00243E92"/>
    <w:rsid w:val="002445B2"/>
    <w:rsid w:val="00255064"/>
    <w:rsid w:val="002625EE"/>
    <w:rsid w:val="00270A14"/>
    <w:rsid w:val="0027764F"/>
    <w:rsid w:val="00280F42"/>
    <w:rsid w:val="002816B3"/>
    <w:rsid w:val="002B6D12"/>
    <w:rsid w:val="002C1215"/>
    <w:rsid w:val="002E75A1"/>
    <w:rsid w:val="002F1034"/>
    <w:rsid w:val="003129C3"/>
    <w:rsid w:val="003317B9"/>
    <w:rsid w:val="00364466"/>
    <w:rsid w:val="003917A0"/>
    <w:rsid w:val="003E13DD"/>
    <w:rsid w:val="003F2A07"/>
    <w:rsid w:val="003F6EC7"/>
    <w:rsid w:val="0041649F"/>
    <w:rsid w:val="004629A2"/>
    <w:rsid w:val="004641E2"/>
    <w:rsid w:val="00470A66"/>
    <w:rsid w:val="00487FF6"/>
    <w:rsid w:val="004B0C93"/>
    <w:rsid w:val="004C45F3"/>
    <w:rsid w:val="004C7DAE"/>
    <w:rsid w:val="004F3958"/>
    <w:rsid w:val="00504594"/>
    <w:rsid w:val="00516220"/>
    <w:rsid w:val="00524A2B"/>
    <w:rsid w:val="00565315"/>
    <w:rsid w:val="00576DF0"/>
    <w:rsid w:val="005776BA"/>
    <w:rsid w:val="00580C3E"/>
    <w:rsid w:val="005872DB"/>
    <w:rsid w:val="00590CE1"/>
    <w:rsid w:val="005B70AA"/>
    <w:rsid w:val="005D37C7"/>
    <w:rsid w:val="005D7DB3"/>
    <w:rsid w:val="005E6645"/>
    <w:rsid w:val="005F42E2"/>
    <w:rsid w:val="0060313E"/>
    <w:rsid w:val="0060350E"/>
    <w:rsid w:val="00614331"/>
    <w:rsid w:val="00657E2F"/>
    <w:rsid w:val="00657FC9"/>
    <w:rsid w:val="0066385E"/>
    <w:rsid w:val="006B2526"/>
    <w:rsid w:val="006E1DC9"/>
    <w:rsid w:val="007304E8"/>
    <w:rsid w:val="0073656B"/>
    <w:rsid w:val="0078548F"/>
    <w:rsid w:val="007B3000"/>
    <w:rsid w:val="007B7F10"/>
    <w:rsid w:val="007D173F"/>
    <w:rsid w:val="008421CD"/>
    <w:rsid w:val="00866D31"/>
    <w:rsid w:val="0087570D"/>
    <w:rsid w:val="0089561C"/>
    <w:rsid w:val="008A02D6"/>
    <w:rsid w:val="008A226C"/>
    <w:rsid w:val="008C0F8E"/>
    <w:rsid w:val="008C5B89"/>
    <w:rsid w:val="00906F61"/>
    <w:rsid w:val="00923DB5"/>
    <w:rsid w:val="00944FAD"/>
    <w:rsid w:val="009535BE"/>
    <w:rsid w:val="00970C63"/>
    <w:rsid w:val="00976703"/>
    <w:rsid w:val="009972B9"/>
    <w:rsid w:val="009E5EA6"/>
    <w:rsid w:val="00A077F4"/>
    <w:rsid w:val="00A17380"/>
    <w:rsid w:val="00A3547E"/>
    <w:rsid w:val="00A6634C"/>
    <w:rsid w:val="00AC0887"/>
    <w:rsid w:val="00AD7F80"/>
    <w:rsid w:val="00AE3E65"/>
    <w:rsid w:val="00B75161"/>
    <w:rsid w:val="00BA42BE"/>
    <w:rsid w:val="00BB1834"/>
    <w:rsid w:val="00BD5612"/>
    <w:rsid w:val="00BF5277"/>
    <w:rsid w:val="00C03564"/>
    <w:rsid w:val="00C26322"/>
    <w:rsid w:val="00C36C2D"/>
    <w:rsid w:val="00C628A4"/>
    <w:rsid w:val="00C74DF9"/>
    <w:rsid w:val="00C97A9F"/>
    <w:rsid w:val="00CB1711"/>
    <w:rsid w:val="00CB1C69"/>
    <w:rsid w:val="00D0735C"/>
    <w:rsid w:val="00D10C21"/>
    <w:rsid w:val="00D23FE5"/>
    <w:rsid w:val="00D5702C"/>
    <w:rsid w:val="00D71EC3"/>
    <w:rsid w:val="00D74146"/>
    <w:rsid w:val="00D806C6"/>
    <w:rsid w:val="00DA0CE0"/>
    <w:rsid w:val="00DC1F06"/>
    <w:rsid w:val="00DD47A4"/>
    <w:rsid w:val="00DD4DBE"/>
    <w:rsid w:val="00DE0288"/>
    <w:rsid w:val="00DF1421"/>
    <w:rsid w:val="00DF6593"/>
    <w:rsid w:val="00E52AC1"/>
    <w:rsid w:val="00E6349A"/>
    <w:rsid w:val="00E66B9E"/>
    <w:rsid w:val="00EA181B"/>
    <w:rsid w:val="00EB6AD7"/>
    <w:rsid w:val="00EC0093"/>
    <w:rsid w:val="00ED3868"/>
    <w:rsid w:val="00EF2D8E"/>
    <w:rsid w:val="00F053A3"/>
    <w:rsid w:val="00F116A8"/>
    <w:rsid w:val="00F62FFF"/>
    <w:rsid w:val="00FB74E3"/>
    <w:rsid w:val="00FC3EB1"/>
    <w:rsid w:val="00FF61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3DD"/>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E13DD"/>
    <w:pPr>
      <w:tabs>
        <w:tab w:val="center" w:pos="4513"/>
        <w:tab w:val="right" w:pos="9026"/>
      </w:tabs>
    </w:pPr>
  </w:style>
  <w:style w:type="character" w:customStyle="1" w:styleId="HeaderChar">
    <w:name w:val="Header Char"/>
    <w:link w:val="Header"/>
    <w:rsid w:val="003E13DD"/>
    <w:rPr>
      <w:rFonts w:ascii="Times New Roman" w:eastAsia="Calibri" w:hAnsi="Times New Roman" w:cs="Times New Roman"/>
      <w:color w:val="000000"/>
      <w:sz w:val="24"/>
      <w:szCs w:val="20"/>
      <w:lang w:eastAsia="en-AU"/>
    </w:rPr>
  </w:style>
  <w:style w:type="paragraph" w:customStyle="1" w:styleId="Cabinet2text">
    <w:name w:val="Cabinet 2 text"/>
    <w:basedOn w:val="Normal"/>
    <w:rsid w:val="003E13DD"/>
    <w:pPr>
      <w:numPr>
        <w:ilvl w:val="1"/>
        <w:numId w:val="2"/>
      </w:numPr>
      <w:spacing w:before="120"/>
      <w:jc w:val="both"/>
    </w:pPr>
    <w:rPr>
      <w:rFonts w:eastAsia="Times New Roman"/>
      <w:color w:val="auto"/>
    </w:rPr>
  </w:style>
  <w:style w:type="paragraph" w:customStyle="1" w:styleId="Cabinet3text">
    <w:name w:val="Cabinet 3 text"/>
    <w:basedOn w:val="Cabinet2text"/>
    <w:rsid w:val="003E13DD"/>
    <w:pPr>
      <w:numPr>
        <w:ilvl w:val="2"/>
      </w:numPr>
    </w:pPr>
  </w:style>
  <w:style w:type="paragraph" w:customStyle="1" w:styleId="Cabinet4text">
    <w:name w:val="Cabinet 4 text"/>
    <w:basedOn w:val="Cabinet2text"/>
    <w:rsid w:val="003E13DD"/>
    <w:pPr>
      <w:numPr>
        <w:ilvl w:val="3"/>
      </w:numPr>
    </w:pPr>
  </w:style>
  <w:style w:type="numbering" w:customStyle="1" w:styleId="cabinet">
    <w:name w:val="cabinet"/>
    <w:rsid w:val="003E13DD"/>
    <w:pPr>
      <w:numPr>
        <w:numId w:val="5"/>
      </w:numPr>
    </w:pPr>
  </w:style>
  <w:style w:type="paragraph" w:customStyle="1" w:styleId="StyleJustified">
    <w:name w:val="Style Justified"/>
    <w:basedOn w:val="Normal"/>
    <w:rsid w:val="003E13DD"/>
    <w:pPr>
      <w:numPr>
        <w:numId w:val="2"/>
      </w:numPr>
      <w:spacing w:before="240"/>
      <w:jc w:val="both"/>
    </w:pPr>
    <w:rPr>
      <w:rFonts w:eastAsia="Times New Roman"/>
      <w:color w:val="auto"/>
    </w:rPr>
  </w:style>
  <w:style w:type="paragraph" w:customStyle="1" w:styleId="cabinet5text">
    <w:name w:val="cabinet 5 text"/>
    <w:basedOn w:val="Cabinet2text"/>
    <w:rsid w:val="003E13DD"/>
    <w:pPr>
      <w:numPr>
        <w:ilvl w:val="4"/>
      </w:numPr>
    </w:pPr>
  </w:style>
  <w:style w:type="paragraph" w:styleId="Footer">
    <w:name w:val="footer"/>
    <w:basedOn w:val="Normal"/>
    <w:link w:val="FooterChar"/>
    <w:uiPriority w:val="99"/>
    <w:unhideWhenUsed/>
    <w:rsid w:val="002E75A1"/>
    <w:pPr>
      <w:tabs>
        <w:tab w:val="center" w:pos="4513"/>
        <w:tab w:val="right" w:pos="9026"/>
      </w:tabs>
    </w:pPr>
  </w:style>
  <w:style w:type="character" w:customStyle="1" w:styleId="FooterChar">
    <w:name w:val="Footer Char"/>
    <w:link w:val="Footer"/>
    <w:uiPriority w:val="99"/>
    <w:rsid w:val="002E75A1"/>
    <w:rPr>
      <w:rFonts w:ascii="Times New Roman" w:eastAsia="Calibri" w:hAnsi="Times New Roman" w:cs="Times New Roman"/>
      <w:color w:val="000000"/>
      <w:sz w:val="24"/>
      <w:szCs w:val="20"/>
      <w:lang w:eastAsia="en-AU"/>
    </w:rPr>
  </w:style>
  <w:style w:type="paragraph" w:styleId="BalloonText">
    <w:name w:val="Balloon Text"/>
    <w:basedOn w:val="Normal"/>
    <w:link w:val="BalloonTextChar"/>
    <w:uiPriority w:val="99"/>
    <w:semiHidden/>
    <w:unhideWhenUsed/>
    <w:rsid w:val="0087570D"/>
    <w:rPr>
      <w:rFonts w:ascii="Segoe UI" w:hAnsi="Segoe UI" w:cs="Segoe UI"/>
      <w:sz w:val="18"/>
      <w:szCs w:val="18"/>
    </w:rPr>
  </w:style>
  <w:style w:type="character" w:customStyle="1" w:styleId="BalloonTextChar">
    <w:name w:val="Balloon Text Char"/>
    <w:link w:val="BalloonText"/>
    <w:uiPriority w:val="99"/>
    <w:semiHidden/>
    <w:rsid w:val="0087570D"/>
    <w:rPr>
      <w:rFonts w:ascii="Segoe UI" w:eastAsia="Calibri" w:hAnsi="Segoe UI" w:cs="Segoe UI"/>
      <w:color w:val="000000"/>
      <w:sz w:val="18"/>
      <w:szCs w:val="18"/>
      <w:lang w:eastAsia="en-AU"/>
    </w:rPr>
  </w:style>
  <w:style w:type="paragraph" w:styleId="ListParagraph">
    <w:name w:val="List Paragraph"/>
    <w:basedOn w:val="Normal"/>
    <w:uiPriority w:val="34"/>
    <w:qFormat/>
    <w:rsid w:val="006638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1269</Characters>
  <Application>Microsoft Office Word</Application>
  <DocSecurity>0</DocSecurity>
  <Lines>23</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1488</CharactersWithSpaces>
  <SharedDoc>false</SharedDoc>
  <HyperlinkBase>https://www.cabinet.qld.gov.au/documents/2015/Nov/ApptADC/</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2015-10-12T02:14:00Z</cp:lastPrinted>
  <dcterms:created xsi:type="dcterms:W3CDTF">2017-10-25T01:33:00Z</dcterms:created>
  <dcterms:modified xsi:type="dcterms:W3CDTF">2018-03-06T01:30:00Z</dcterms:modified>
  <cp:category>Significant_Appointments,Justice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2081624372</vt:i4>
  </property>
  <property fmtid="{D5CDD505-2E9C-101B-9397-08002B2CF9AE}" pid="3" name="_NewReviewCycle">
    <vt:lpwstr/>
  </property>
  <property fmtid="{D5CDD505-2E9C-101B-9397-08002B2CF9AE}" pid="4" name="_ReviewingToolsShownOnce">
    <vt:lpwstr/>
  </property>
</Properties>
</file>